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414" w:rsidRPr="00D4218F" w:rsidRDefault="00DB2414">
      <w:pPr>
        <w:rPr>
          <w:lang w:val="ro-RO"/>
        </w:rPr>
      </w:pPr>
      <w:r w:rsidRPr="00D4218F">
        <w:rPr>
          <w:noProof/>
          <w:lang w:val="en-US"/>
        </w:rPr>
        <w:drawing>
          <wp:inline distT="0" distB="0" distL="0" distR="0">
            <wp:extent cx="6134795" cy="53340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35035" cy="533421"/>
                    </a:xfrm>
                    <a:prstGeom prst="rect">
                      <a:avLst/>
                    </a:prstGeom>
                    <a:noFill/>
                  </pic:spPr>
                </pic:pic>
              </a:graphicData>
            </a:graphic>
          </wp:inline>
        </w:drawing>
      </w:r>
    </w:p>
    <w:p w:rsidR="009B1BF7" w:rsidRDefault="009B1BF7" w:rsidP="009B1BF7">
      <w:pPr>
        <w:pStyle w:val="Default"/>
        <w:jc w:val="center"/>
        <w:rPr>
          <w:rFonts w:asciiTheme="minorHAnsi" w:hAnsiTheme="minorHAnsi"/>
          <w:b/>
          <w:bCs/>
          <w:color w:val="2F5496" w:themeColor="accent5" w:themeShade="BF"/>
          <w:sz w:val="32"/>
          <w:szCs w:val="28"/>
        </w:rPr>
      </w:pPr>
    </w:p>
    <w:p w:rsidR="00D653B9" w:rsidRDefault="00D653B9" w:rsidP="00D653B9">
      <w:pPr>
        <w:pStyle w:val="Default"/>
        <w:spacing w:line="360" w:lineRule="auto"/>
        <w:jc w:val="center"/>
        <w:rPr>
          <w:rFonts w:asciiTheme="minorHAnsi" w:hAnsiTheme="minorHAnsi"/>
          <w:b/>
          <w:bCs/>
          <w:color w:val="2F5496" w:themeColor="accent5" w:themeShade="BF"/>
          <w:sz w:val="28"/>
          <w:szCs w:val="28"/>
        </w:rPr>
      </w:pPr>
      <w:r w:rsidRPr="007B42D5">
        <w:rPr>
          <w:rFonts w:asciiTheme="minorHAnsi" w:hAnsiTheme="minorHAnsi"/>
          <w:b/>
          <w:bCs/>
          <w:color w:val="2F5496" w:themeColor="accent5" w:themeShade="BF"/>
          <w:sz w:val="32"/>
          <w:szCs w:val="28"/>
        </w:rPr>
        <w:t>Comunicat</w:t>
      </w:r>
      <w:r w:rsidRPr="007B42D5">
        <w:rPr>
          <w:rFonts w:asciiTheme="minorHAnsi" w:hAnsiTheme="minorHAnsi"/>
          <w:b/>
          <w:bCs/>
          <w:color w:val="2F5496" w:themeColor="accent5" w:themeShade="BF"/>
          <w:sz w:val="28"/>
          <w:szCs w:val="28"/>
        </w:rPr>
        <w:t xml:space="preserve"> de presă</w:t>
      </w:r>
    </w:p>
    <w:p w:rsidR="0043440C" w:rsidRDefault="0043440C" w:rsidP="0043440C">
      <w:pPr>
        <w:pStyle w:val="has-text-align-center"/>
        <w:shd w:val="clear" w:color="auto" w:fill="FFFFFF"/>
        <w:spacing w:before="384" w:beforeAutospacing="0" w:after="384" w:afterAutospacing="0"/>
        <w:jc w:val="center"/>
        <w:rPr>
          <w:rFonts w:ascii="Bitter" w:hAnsi="Bitter"/>
          <w:color w:val="00529C"/>
        </w:rPr>
      </w:pPr>
      <w:proofErr w:type="spellStart"/>
      <w:r>
        <w:rPr>
          <w:rFonts w:ascii="Bitter" w:hAnsi="Bitter"/>
          <w:color w:val="00529C"/>
        </w:rPr>
        <w:t>Anu</w:t>
      </w:r>
      <w:r w:rsidR="00F5430A">
        <w:rPr>
          <w:rFonts w:ascii="Bitter" w:hAnsi="Bitter"/>
          <w:color w:val="00529C"/>
        </w:rPr>
        <w:t>nt</w:t>
      </w:r>
      <w:proofErr w:type="spellEnd"/>
      <w:r>
        <w:rPr>
          <w:rFonts w:ascii="Bitter" w:hAnsi="Bitter" w:cs="Bitter"/>
          <w:color w:val="00529C"/>
        </w:rPr>
        <w:t xml:space="preserve"> </w:t>
      </w:r>
      <w:proofErr w:type="spellStart"/>
      <w:r>
        <w:rPr>
          <w:rFonts w:ascii="Bitter" w:hAnsi="Bitter" w:cs="Bitter"/>
          <w:color w:val="00529C"/>
        </w:rPr>
        <w:t>finalizare</w:t>
      </w:r>
      <w:proofErr w:type="spellEnd"/>
      <w:r>
        <w:rPr>
          <w:rFonts w:ascii="Bitter" w:hAnsi="Bitter" w:cs="Bitter"/>
          <w:color w:val="00529C"/>
        </w:rPr>
        <w:t xml:space="preserve"> </w:t>
      </w:r>
      <w:proofErr w:type="spellStart"/>
      <w:r>
        <w:rPr>
          <w:rFonts w:ascii="Bitter" w:hAnsi="Bitter" w:cs="Bitter"/>
          <w:color w:val="00529C"/>
        </w:rPr>
        <w:t>proiec</w:t>
      </w:r>
      <w:r>
        <w:rPr>
          <w:rFonts w:ascii="Bitter" w:hAnsi="Bitter"/>
          <w:color w:val="00529C"/>
        </w:rPr>
        <w:t>t</w:t>
      </w:r>
      <w:proofErr w:type="spellEnd"/>
    </w:p>
    <w:p w:rsidR="00D653B9" w:rsidRDefault="00D653B9" w:rsidP="00F5430A">
      <w:pPr>
        <w:spacing w:after="120" w:line="360" w:lineRule="auto"/>
        <w:jc w:val="center"/>
        <w:rPr>
          <w:color w:val="2F5496" w:themeColor="accent5" w:themeShade="BF"/>
          <w:sz w:val="28"/>
          <w:szCs w:val="28"/>
          <w:lang w:val="ro-RO"/>
        </w:rPr>
      </w:pPr>
      <w:r w:rsidRPr="007B42D5">
        <w:rPr>
          <w:color w:val="2F5496" w:themeColor="accent5" w:themeShade="BF"/>
          <w:sz w:val="28"/>
          <w:szCs w:val="28"/>
          <w:lang w:val="ro-RO"/>
        </w:rPr>
        <w:t>„PNRR: Fonduri pentru România modernă și reformată!”</w:t>
      </w:r>
    </w:p>
    <w:p w:rsidR="0043453D" w:rsidRDefault="0043453D" w:rsidP="00F5430A">
      <w:pPr>
        <w:spacing w:after="0" w:line="276" w:lineRule="auto"/>
        <w:jc w:val="center"/>
        <w:rPr>
          <w:color w:val="2F5496" w:themeColor="accent5" w:themeShade="BF"/>
          <w:sz w:val="28"/>
          <w:szCs w:val="28"/>
          <w:lang w:val="ro-RO"/>
        </w:rPr>
      </w:pPr>
      <w:r>
        <w:rPr>
          <w:color w:val="2F5496" w:themeColor="accent5" w:themeShade="BF"/>
          <w:sz w:val="28"/>
          <w:szCs w:val="28"/>
          <w:lang w:val="ro-RO"/>
        </w:rPr>
        <w:t>„Î</w:t>
      </w:r>
      <w:r w:rsidRPr="0043453D">
        <w:rPr>
          <w:color w:val="2F5496" w:themeColor="accent5" w:themeShade="BF"/>
          <w:sz w:val="28"/>
          <w:szCs w:val="28"/>
          <w:lang w:val="ro-RO"/>
        </w:rPr>
        <w:t xml:space="preserve">NFIINȚARE CENTRU DE COLECTARE PRIN APORT VOLUNTAR ÎN COMUNA </w:t>
      </w:r>
      <w:r w:rsidR="005033D6">
        <w:rPr>
          <w:color w:val="2F5496" w:themeColor="accent5" w:themeShade="BF"/>
          <w:sz w:val="28"/>
          <w:szCs w:val="28"/>
          <w:lang w:val="ro-RO"/>
        </w:rPr>
        <w:t>LESPEZI</w:t>
      </w:r>
      <w:r w:rsidRPr="0043453D">
        <w:rPr>
          <w:color w:val="2F5496" w:themeColor="accent5" w:themeShade="BF"/>
          <w:sz w:val="28"/>
          <w:szCs w:val="28"/>
          <w:lang w:val="ro-RO"/>
        </w:rPr>
        <w:t xml:space="preserve">, JUDEȚUL </w:t>
      </w:r>
      <w:r w:rsidR="005033D6">
        <w:rPr>
          <w:color w:val="2F5496" w:themeColor="accent5" w:themeShade="BF"/>
          <w:sz w:val="28"/>
          <w:szCs w:val="28"/>
          <w:lang w:val="ro-RO"/>
        </w:rPr>
        <w:t>IAȘI</w:t>
      </w:r>
      <w:r w:rsidRPr="0043453D">
        <w:rPr>
          <w:color w:val="2F5496" w:themeColor="accent5" w:themeShade="BF"/>
          <w:sz w:val="28"/>
          <w:szCs w:val="28"/>
          <w:lang w:val="ro-RO"/>
        </w:rPr>
        <w:t>”</w:t>
      </w:r>
    </w:p>
    <w:p w:rsidR="0043453D" w:rsidRPr="00A3216F" w:rsidRDefault="0043453D" w:rsidP="00F5430A">
      <w:pPr>
        <w:spacing w:after="120" w:line="360" w:lineRule="auto"/>
        <w:jc w:val="center"/>
        <w:rPr>
          <w:sz w:val="28"/>
          <w:szCs w:val="28"/>
          <w:lang w:val="ro-RO"/>
        </w:rPr>
      </w:pPr>
      <w:r>
        <w:rPr>
          <w:color w:val="2F5496" w:themeColor="accent5" w:themeShade="BF"/>
          <w:sz w:val="28"/>
          <w:szCs w:val="28"/>
          <w:lang w:val="ro-RO"/>
        </w:rPr>
        <w:t xml:space="preserve">Apel: </w:t>
      </w:r>
      <w:r w:rsidRPr="0043453D">
        <w:rPr>
          <w:color w:val="2F5496" w:themeColor="accent5" w:themeShade="BF"/>
          <w:sz w:val="28"/>
          <w:szCs w:val="28"/>
          <w:lang w:val="ro-RO"/>
        </w:rPr>
        <w:t>PNRR/2022/C3/S/I.1.A</w:t>
      </w:r>
    </w:p>
    <w:p w:rsidR="0043453D" w:rsidRPr="0043453D" w:rsidRDefault="0043453D" w:rsidP="00C16869">
      <w:pPr>
        <w:spacing w:after="0" w:line="276" w:lineRule="auto"/>
        <w:jc w:val="both"/>
        <w:rPr>
          <w:rFonts w:cs="Times New Roman"/>
          <w:bCs/>
          <w:sz w:val="24"/>
          <w:szCs w:val="24"/>
          <w:lang w:val="ro-RO"/>
        </w:rPr>
      </w:pPr>
      <w:r>
        <w:rPr>
          <w:rFonts w:cs="Times New Roman"/>
          <w:bCs/>
          <w:sz w:val="24"/>
          <w:szCs w:val="24"/>
          <w:lang w:val="ro-RO"/>
        </w:rPr>
        <w:t xml:space="preserve">Prezenta investiție este propusă a fi realizată prin Componenta C3 a PNRR- managementul deșeurilor, Investiția I1- Dezvoltarea, modernizarea și completarea sistemelor de management integrat al deșeurilor municipale la nivel de județ sau la nivel de orașe/comune, Subinvestiția I1.A.- Înființarea de centre de coletcare prin aport voluntar. În urma implementării proiectului va fi înființat un centru de colectare prin aport voluntar în Comuna </w:t>
      </w:r>
      <w:r w:rsidR="005033D6">
        <w:rPr>
          <w:rFonts w:cs="Times New Roman"/>
          <w:bCs/>
          <w:sz w:val="24"/>
          <w:szCs w:val="24"/>
          <w:lang w:val="ro-RO"/>
        </w:rPr>
        <w:t>Lespezi</w:t>
      </w:r>
      <w:r>
        <w:rPr>
          <w:rFonts w:cs="Times New Roman"/>
          <w:bCs/>
          <w:sz w:val="24"/>
          <w:szCs w:val="24"/>
          <w:lang w:val="ro-RO"/>
        </w:rPr>
        <w:t xml:space="preserve">, Județul </w:t>
      </w:r>
      <w:r w:rsidR="005033D6">
        <w:rPr>
          <w:rFonts w:cs="Times New Roman"/>
          <w:bCs/>
          <w:sz w:val="24"/>
          <w:szCs w:val="24"/>
          <w:lang w:val="ro-RO"/>
        </w:rPr>
        <w:t>Iași</w:t>
      </w:r>
      <w:r>
        <w:rPr>
          <w:rFonts w:cs="Times New Roman"/>
          <w:bCs/>
          <w:sz w:val="24"/>
          <w:szCs w:val="24"/>
          <w:lang w:val="ro-RO"/>
        </w:rPr>
        <w:t>, ce va asigura colectarea separată a deșeurilor care nu pot fi colectate în sistem „door-to-door”, respectiv deșeuri reciclabile și biodeșeuri care nu pot fi colectate în pubelele individuale, precum și fluxurile speciale de deșeuri- deșeuri voluminoase, deșeuri textile, deșeuri din lemn, mobilier, deșeuri din anvelope, deșeuri de echipamente electrice și electronice, baterii uzate, deșeuri periculoase, deșeuri de cadavre animale, deșeuri de grădină, deșeuri din construcții și demolări.</w:t>
      </w:r>
    </w:p>
    <w:p w:rsidR="00362881" w:rsidRDefault="00362881" w:rsidP="00C16869">
      <w:pPr>
        <w:spacing w:after="0" w:line="276" w:lineRule="auto"/>
        <w:jc w:val="both"/>
        <w:rPr>
          <w:rFonts w:cs="Times New Roman"/>
          <w:bCs/>
          <w:sz w:val="24"/>
          <w:szCs w:val="24"/>
          <w:lang w:val="ro-RO"/>
        </w:rPr>
      </w:pPr>
      <w:r w:rsidRPr="00362881">
        <w:rPr>
          <w:rFonts w:cs="Times New Roman"/>
          <w:b/>
          <w:sz w:val="24"/>
          <w:szCs w:val="24"/>
          <w:lang w:val="ro-RO"/>
        </w:rPr>
        <w:t>Numele beneficiarului</w:t>
      </w:r>
      <w:r>
        <w:rPr>
          <w:rFonts w:cs="Times New Roman"/>
          <w:b/>
          <w:sz w:val="24"/>
          <w:szCs w:val="24"/>
          <w:lang w:val="ro-RO"/>
        </w:rPr>
        <w:t xml:space="preserve">: </w:t>
      </w:r>
      <w:r w:rsidRPr="00362881">
        <w:rPr>
          <w:rFonts w:cs="Times New Roman"/>
          <w:bCs/>
          <w:sz w:val="24"/>
          <w:szCs w:val="24"/>
          <w:lang w:val="ro-RO"/>
        </w:rPr>
        <w:t xml:space="preserve">Comuna </w:t>
      </w:r>
      <w:proofErr w:type="spellStart"/>
      <w:r w:rsidR="005033D6">
        <w:rPr>
          <w:rFonts w:cs="Times New Roman"/>
          <w:bCs/>
          <w:sz w:val="24"/>
          <w:szCs w:val="24"/>
        </w:rPr>
        <w:t>Lespezi</w:t>
      </w:r>
      <w:proofErr w:type="spellEnd"/>
    </w:p>
    <w:p w:rsidR="00362881" w:rsidRDefault="00362881" w:rsidP="008633F3">
      <w:pPr>
        <w:spacing w:after="0" w:line="276" w:lineRule="auto"/>
        <w:jc w:val="both"/>
        <w:rPr>
          <w:rFonts w:cs="Times New Roman"/>
          <w:b/>
          <w:sz w:val="24"/>
          <w:szCs w:val="24"/>
          <w:lang w:val="ro-RO"/>
        </w:rPr>
      </w:pPr>
      <w:r>
        <w:rPr>
          <w:rFonts w:cs="Times New Roman"/>
          <w:b/>
          <w:sz w:val="24"/>
          <w:szCs w:val="24"/>
          <w:lang w:val="ro-RO"/>
        </w:rPr>
        <w:t>N</w:t>
      </w:r>
      <w:r w:rsidRPr="00362881">
        <w:rPr>
          <w:rFonts w:cs="Times New Roman"/>
          <w:b/>
          <w:sz w:val="24"/>
          <w:szCs w:val="24"/>
          <w:lang w:val="ro-RO"/>
        </w:rPr>
        <w:t xml:space="preserve">umele proiectului de </w:t>
      </w:r>
      <w:r w:rsidRPr="008633F3">
        <w:rPr>
          <w:rFonts w:cs="Times New Roman"/>
          <w:b/>
          <w:sz w:val="24"/>
          <w:szCs w:val="24"/>
          <w:lang w:val="ro-RO"/>
        </w:rPr>
        <w:t xml:space="preserve">investiție: </w:t>
      </w:r>
      <w:r w:rsidR="0052121C">
        <w:rPr>
          <w:rFonts w:cs="Times New Roman"/>
          <w:b/>
          <w:sz w:val="24"/>
          <w:szCs w:val="24"/>
          <w:lang w:val="ro-RO"/>
        </w:rPr>
        <w:t>„</w:t>
      </w:r>
      <w:r w:rsidR="0052121C" w:rsidRPr="0052121C">
        <w:rPr>
          <w:rFonts w:cs="Times New Roman"/>
          <w:bCs/>
          <w:sz w:val="24"/>
          <w:szCs w:val="24"/>
          <w:lang w:val="ro-RO"/>
        </w:rPr>
        <w:t xml:space="preserve">ÎNFIINȚARE CENTRU DE COLECTARE PRIN APORT VOLUNTAR ÎN COMUNA </w:t>
      </w:r>
      <w:r w:rsidR="005033D6">
        <w:rPr>
          <w:rFonts w:cs="Times New Roman"/>
          <w:bCs/>
          <w:sz w:val="24"/>
          <w:szCs w:val="24"/>
          <w:lang w:val="ro-RO"/>
        </w:rPr>
        <w:t>LESPEZI</w:t>
      </w:r>
      <w:r w:rsidR="0052121C" w:rsidRPr="0052121C">
        <w:rPr>
          <w:rFonts w:cs="Times New Roman"/>
          <w:bCs/>
          <w:sz w:val="24"/>
          <w:szCs w:val="24"/>
          <w:lang w:val="ro-RO"/>
        </w:rPr>
        <w:t xml:space="preserve">, JUDEȚUL </w:t>
      </w:r>
      <w:r w:rsidR="005033D6">
        <w:rPr>
          <w:rFonts w:cs="Times New Roman"/>
          <w:bCs/>
          <w:sz w:val="24"/>
          <w:szCs w:val="24"/>
          <w:lang w:val="ro-RO"/>
        </w:rPr>
        <w:t>IAȘI</w:t>
      </w:r>
      <w:r w:rsidR="0052121C" w:rsidRPr="0052121C">
        <w:rPr>
          <w:rFonts w:cs="Times New Roman"/>
          <w:bCs/>
          <w:sz w:val="24"/>
          <w:szCs w:val="24"/>
          <w:lang w:val="ro-RO"/>
        </w:rPr>
        <w:t>”</w:t>
      </w:r>
    </w:p>
    <w:p w:rsidR="00FE46E4" w:rsidRDefault="00FE46E4" w:rsidP="00C16869">
      <w:pPr>
        <w:spacing w:after="0" w:line="276" w:lineRule="auto"/>
        <w:jc w:val="both"/>
        <w:rPr>
          <w:rFonts w:cs="Times New Roman"/>
          <w:bCs/>
          <w:sz w:val="24"/>
          <w:szCs w:val="24"/>
          <w:lang w:val="ro-RO"/>
        </w:rPr>
      </w:pPr>
      <w:r>
        <w:rPr>
          <w:rFonts w:cs="Times New Roman"/>
          <w:b/>
          <w:sz w:val="24"/>
          <w:szCs w:val="24"/>
          <w:lang w:val="ro-RO"/>
        </w:rPr>
        <w:t xml:space="preserve">Cod proiect: </w:t>
      </w:r>
      <w:r w:rsidR="005033D6" w:rsidRPr="005033D6">
        <w:rPr>
          <w:rFonts w:cs="Times New Roman"/>
          <w:bCs/>
          <w:sz w:val="24"/>
          <w:szCs w:val="24"/>
        </w:rPr>
        <w:t>C3I1A0122000532</w:t>
      </w:r>
    </w:p>
    <w:p w:rsidR="00C16869" w:rsidRPr="00C16869" w:rsidRDefault="00C16869" w:rsidP="00C16869">
      <w:pPr>
        <w:spacing w:after="0" w:line="276" w:lineRule="auto"/>
        <w:jc w:val="both"/>
        <w:rPr>
          <w:rFonts w:cs="Times New Roman"/>
          <w:bCs/>
          <w:sz w:val="24"/>
          <w:szCs w:val="24"/>
          <w:lang w:val="ro-RO"/>
        </w:rPr>
      </w:pPr>
      <w:r w:rsidRPr="00C16869">
        <w:rPr>
          <w:rFonts w:cs="Times New Roman"/>
          <w:b/>
          <w:sz w:val="24"/>
          <w:szCs w:val="24"/>
          <w:lang w:val="ro-RO"/>
        </w:rPr>
        <w:t>Durata proiectului</w:t>
      </w:r>
      <w:r>
        <w:rPr>
          <w:rFonts w:cs="Times New Roman"/>
          <w:bCs/>
          <w:sz w:val="24"/>
          <w:szCs w:val="24"/>
          <w:lang w:val="ro-RO"/>
        </w:rPr>
        <w:t xml:space="preserve">: </w:t>
      </w:r>
      <w:r w:rsidR="00D21453">
        <w:rPr>
          <w:rFonts w:cs="Times New Roman"/>
          <w:bCs/>
          <w:sz w:val="24"/>
          <w:szCs w:val="24"/>
          <w:lang w:val="ro-RO"/>
        </w:rPr>
        <w:t xml:space="preserve">16 </w:t>
      </w:r>
      <w:r>
        <w:rPr>
          <w:rFonts w:cs="Times New Roman"/>
          <w:bCs/>
          <w:sz w:val="24"/>
          <w:szCs w:val="24"/>
          <w:lang w:val="ro-RO"/>
        </w:rPr>
        <w:t xml:space="preserve">luni; </w:t>
      </w:r>
      <w:r w:rsidRPr="00C16869">
        <w:rPr>
          <w:rFonts w:cs="Times New Roman"/>
          <w:b/>
          <w:bCs/>
          <w:sz w:val="24"/>
          <w:szCs w:val="24"/>
          <w:lang w:val="ro-RO"/>
        </w:rPr>
        <w:t xml:space="preserve">Data de începere: </w:t>
      </w:r>
      <w:r w:rsidR="00EB5B27">
        <w:rPr>
          <w:rFonts w:cs="Times New Roman"/>
          <w:bCs/>
          <w:sz w:val="24"/>
          <w:szCs w:val="24"/>
          <w:lang w:val="ro-RO"/>
        </w:rPr>
        <w:t>05.</w:t>
      </w:r>
      <w:r w:rsidR="00D21453">
        <w:rPr>
          <w:rFonts w:cs="Times New Roman"/>
          <w:bCs/>
          <w:sz w:val="24"/>
          <w:szCs w:val="24"/>
          <w:lang w:val="ro-RO"/>
        </w:rPr>
        <w:t>05</w:t>
      </w:r>
      <w:r>
        <w:rPr>
          <w:rFonts w:cs="Times New Roman"/>
          <w:bCs/>
          <w:sz w:val="24"/>
          <w:szCs w:val="24"/>
          <w:lang w:val="ro-RO"/>
        </w:rPr>
        <w:t>.</w:t>
      </w:r>
      <w:r w:rsidRPr="00C16869">
        <w:rPr>
          <w:rFonts w:cs="Times New Roman"/>
          <w:bCs/>
          <w:sz w:val="24"/>
          <w:szCs w:val="24"/>
          <w:lang w:val="ro-RO"/>
        </w:rPr>
        <w:t>202</w:t>
      </w:r>
      <w:r w:rsidR="00EB5B27">
        <w:rPr>
          <w:rFonts w:cs="Times New Roman"/>
          <w:bCs/>
          <w:sz w:val="24"/>
          <w:szCs w:val="24"/>
          <w:lang w:val="ro-RO"/>
        </w:rPr>
        <w:t>3</w:t>
      </w:r>
      <w:r>
        <w:rPr>
          <w:rFonts w:cs="Times New Roman"/>
          <w:bCs/>
          <w:sz w:val="24"/>
          <w:szCs w:val="24"/>
          <w:lang w:val="ro-RO"/>
        </w:rPr>
        <w:t xml:space="preserve">; </w:t>
      </w:r>
      <w:r w:rsidRPr="00C16869">
        <w:rPr>
          <w:rFonts w:cs="Times New Roman"/>
          <w:b/>
          <w:bCs/>
          <w:sz w:val="24"/>
          <w:szCs w:val="24"/>
          <w:lang w:val="ro-RO"/>
        </w:rPr>
        <w:t>Data finaliz</w:t>
      </w:r>
      <w:r>
        <w:rPr>
          <w:rFonts w:cs="Times New Roman"/>
          <w:b/>
          <w:bCs/>
          <w:sz w:val="24"/>
          <w:szCs w:val="24"/>
          <w:lang w:val="ro-RO"/>
        </w:rPr>
        <w:t>are</w:t>
      </w:r>
      <w:r w:rsidRPr="00C16869">
        <w:rPr>
          <w:rFonts w:cs="Times New Roman"/>
          <w:b/>
          <w:bCs/>
          <w:sz w:val="24"/>
          <w:szCs w:val="24"/>
          <w:lang w:val="ro-RO"/>
        </w:rPr>
        <w:t>:</w:t>
      </w:r>
      <w:r w:rsidRPr="00C16869">
        <w:rPr>
          <w:rFonts w:cs="Times New Roman"/>
          <w:bCs/>
          <w:sz w:val="24"/>
          <w:szCs w:val="24"/>
          <w:lang w:val="ro-RO"/>
        </w:rPr>
        <w:t xml:space="preserve"> </w:t>
      </w:r>
      <w:r w:rsidR="00D21453">
        <w:rPr>
          <w:rFonts w:cs="Times New Roman"/>
          <w:bCs/>
          <w:sz w:val="24"/>
          <w:szCs w:val="24"/>
          <w:lang w:val="ro-RO"/>
        </w:rPr>
        <w:t>30.0</w:t>
      </w:r>
      <w:r w:rsidR="0043440C">
        <w:rPr>
          <w:rFonts w:cs="Times New Roman"/>
          <w:bCs/>
          <w:sz w:val="24"/>
          <w:szCs w:val="24"/>
          <w:lang w:val="ro-RO"/>
        </w:rPr>
        <w:t>6</w:t>
      </w:r>
      <w:r w:rsidR="00D21453">
        <w:rPr>
          <w:rFonts w:cs="Times New Roman"/>
          <w:bCs/>
          <w:sz w:val="24"/>
          <w:szCs w:val="24"/>
          <w:lang w:val="ro-RO"/>
        </w:rPr>
        <w:t>.202</w:t>
      </w:r>
      <w:r w:rsidR="0043440C">
        <w:rPr>
          <w:rFonts w:cs="Times New Roman"/>
          <w:bCs/>
          <w:sz w:val="24"/>
          <w:szCs w:val="24"/>
          <w:lang w:val="ro-RO"/>
        </w:rPr>
        <w:t>6</w:t>
      </w:r>
    </w:p>
    <w:p w:rsidR="00A41AAC" w:rsidRDefault="00C16869" w:rsidP="00C16869">
      <w:pPr>
        <w:autoSpaceDE w:val="0"/>
        <w:autoSpaceDN w:val="0"/>
        <w:adjustRightInd w:val="0"/>
        <w:spacing w:after="0" w:line="240" w:lineRule="auto"/>
        <w:jc w:val="both"/>
        <w:rPr>
          <w:rFonts w:cs="Trebuchet MS"/>
          <w:sz w:val="24"/>
          <w:szCs w:val="24"/>
          <w:lang w:val="ro-RO"/>
        </w:rPr>
      </w:pPr>
      <w:r w:rsidRPr="00C16869">
        <w:rPr>
          <w:rFonts w:cs="Trebuchet MS"/>
          <w:b/>
          <w:bCs/>
          <w:sz w:val="24"/>
          <w:szCs w:val="24"/>
          <w:lang w:val="ro-RO"/>
        </w:rPr>
        <w:t>Obiectiv general:</w:t>
      </w:r>
      <w:r w:rsidR="00A41AAC">
        <w:rPr>
          <w:rFonts w:cs="Trebuchet MS"/>
          <w:b/>
          <w:bCs/>
          <w:sz w:val="24"/>
          <w:szCs w:val="24"/>
          <w:lang w:val="ro-RO"/>
        </w:rPr>
        <w:t xml:space="preserve"> </w:t>
      </w:r>
      <w:r w:rsidR="00A41AAC" w:rsidRPr="00A41AAC">
        <w:rPr>
          <w:rFonts w:cs="Trebuchet MS"/>
          <w:sz w:val="24"/>
          <w:szCs w:val="24"/>
          <w:lang w:val="ro-RO"/>
        </w:rPr>
        <w:t xml:space="preserve">Extinderea și modernizarea sistemului de gestionare a deșeurilor în comuna </w:t>
      </w:r>
      <w:r w:rsidR="005033D6">
        <w:rPr>
          <w:rFonts w:cs="Trebuchet MS"/>
          <w:sz w:val="24"/>
          <w:szCs w:val="24"/>
          <w:lang w:val="ro-RO"/>
        </w:rPr>
        <w:t>Lespezi</w:t>
      </w:r>
      <w:r w:rsidR="00A41AAC" w:rsidRPr="00A41AAC">
        <w:rPr>
          <w:rFonts w:cs="Trebuchet MS"/>
          <w:sz w:val="24"/>
          <w:szCs w:val="24"/>
          <w:lang w:val="ro-RO"/>
        </w:rPr>
        <w:t xml:space="preserve">, județul </w:t>
      </w:r>
      <w:r w:rsidR="005033D6">
        <w:rPr>
          <w:rFonts w:cs="Trebuchet MS"/>
          <w:sz w:val="24"/>
          <w:szCs w:val="24"/>
          <w:lang w:val="ro-RO"/>
        </w:rPr>
        <w:t>Iași</w:t>
      </w:r>
      <w:r w:rsidR="00A41AAC" w:rsidRPr="00A41AAC">
        <w:rPr>
          <w:rFonts w:cs="Trebuchet MS"/>
          <w:sz w:val="24"/>
          <w:szCs w:val="24"/>
          <w:lang w:val="ro-RO"/>
        </w:rPr>
        <w:t xml:space="preserve"> cu accent pe colectarea separată, măsuri de prevenție, reducere, reutilizare și valorificare în vederea conformării cu directivele aplicabile și tranziției la economia circulară</w:t>
      </w:r>
    </w:p>
    <w:p w:rsidR="00C16869" w:rsidRPr="00C16869" w:rsidRDefault="00C16869" w:rsidP="00C16869">
      <w:pPr>
        <w:autoSpaceDE w:val="0"/>
        <w:autoSpaceDN w:val="0"/>
        <w:adjustRightInd w:val="0"/>
        <w:spacing w:after="0" w:line="240" w:lineRule="auto"/>
        <w:jc w:val="both"/>
        <w:rPr>
          <w:rFonts w:cs="Trebuchet MS"/>
          <w:b/>
          <w:bCs/>
          <w:sz w:val="24"/>
          <w:szCs w:val="24"/>
          <w:lang w:val="ro-RO"/>
        </w:rPr>
      </w:pPr>
      <w:r w:rsidRPr="00C16869">
        <w:rPr>
          <w:rFonts w:cs="Trebuchet MS"/>
          <w:b/>
          <w:bCs/>
          <w:sz w:val="24"/>
          <w:szCs w:val="24"/>
          <w:lang w:val="ro-RO"/>
        </w:rPr>
        <w:t>Obiectiv specific:</w:t>
      </w:r>
      <w:r w:rsidR="00A41AAC">
        <w:rPr>
          <w:rFonts w:cs="Trebuchet MS"/>
          <w:b/>
          <w:bCs/>
          <w:sz w:val="24"/>
          <w:szCs w:val="24"/>
          <w:lang w:val="ro-RO"/>
        </w:rPr>
        <w:t xml:space="preserve"> </w:t>
      </w:r>
      <w:r w:rsidR="00A41AAC" w:rsidRPr="00A41AAC">
        <w:rPr>
          <w:rFonts w:cs="Trebuchet MS"/>
          <w:sz w:val="24"/>
          <w:szCs w:val="24"/>
          <w:lang w:val="ro-RO"/>
        </w:rPr>
        <w:t>Dezvoltarea unui management al deșeurilor eficient, prin suplimentarea capacităților de colectare separată, pregătire pentru reutilizare și valorificare a deșeurilor în vederea continuării procesului de conformare cu prevederile directivelor specifice și a tranziției la economia circulară.</w:t>
      </w:r>
    </w:p>
    <w:p w:rsidR="009E1E66" w:rsidRPr="00EB5B27" w:rsidRDefault="007E35C9" w:rsidP="00EB5B27">
      <w:pPr>
        <w:autoSpaceDE w:val="0"/>
        <w:autoSpaceDN w:val="0"/>
        <w:adjustRightInd w:val="0"/>
        <w:spacing w:after="0" w:line="240" w:lineRule="auto"/>
        <w:jc w:val="both"/>
        <w:rPr>
          <w:rFonts w:cs="Trebuchet MS"/>
          <w:sz w:val="24"/>
          <w:szCs w:val="24"/>
          <w:lang w:val="ro-RO"/>
        </w:rPr>
      </w:pPr>
      <w:r w:rsidRPr="00EB5B27">
        <w:rPr>
          <w:rFonts w:cs="Trebuchet MS"/>
          <w:b/>
          <w:sz w:val="24"/>
          <w:szCs w:val="24"/>
          <w:lang w:val="ro-RO"/>
        </w:rPr>
        <w:t xml:space="preserve">Valoare totală </w:t>
      </w:r>
      <w:r w:rsidR="00CD3E81" w:rsidRPr="00EB5B27">
        <w:rPr>
          <w:rFonts w:cs="Trebuchet MS"/>
          <w:b/>
          <w:sz w:val="24"/>
          <w:szCs w:val="24"/>
          <w:lang w:val="ro-RO"/>
        </w:rPr>
        <w:t>proiect</w:t>
      </w:r>
      <w:r w:rsidR="00C76E02" w:rsidRPr="00EB5B27">
        <w:rPr>
          <w:rFonts w:cs="Trebuchet MS"/>
          <w:b/>
          <w:sz w:val="24"/>
          <w:szCs w:val="24"/>
          <w:lang w:val="ro-RO"/>
        </w:rPr>
        <w:t xml:space="preserve">: </w:t>
      </w:r>
      <w:r w:rsidR="00A3216F">
        <w:rPr>
          <w:rFonts w:cs="Trebuchet MS"/>
          <w:sz w:val="24"/>
          <w:szCs w:val="24"/>
          <w:lang w:val="ro-RO"/>
        </w:rPr>
        <w:t>4.</w:t>
      </w:r>
      <w:r w:rsidR="0043440C">
        <w:rPr>
          <w:rFonts w:cs="Trebuchet MS"/>
          <w:sz w:val="24"/>
          <w:szCs w:val="24"/>
          <w:lang w:val="ro-RO"/>
        </w:rPr>
        <w:t>7</w:t>
      </w:r>
      <w:r w:rsidR="00A3216F">
        <w:rPr>
          <w:rFonts w:cs="Trebuchet MS"/>
          <w:sz w:val="24"/>
          <w:szCs w:val="24"/>
          <w:lang w:val="ro-RO"/>
        </w:rPr>
        <w:t>5</w:t>
      </w:r>
      <w:r w:rsidR="0043440C">
        <w:rPr>
          <w:rFonts w:cs="Trebuchet MS"/>
          <w:sz w:val="24"/>
          <w:szCs w:val="24"/>
          <w:lang w:val="ro-RO"/>
        </w:rPr>
        <w:t>7</w:t>
      </w:r>
      <w:r w:rsidR="00A3216F">
        <w:rPr>
          <w:rFonts w:cs="Trebuchet MS"/>
          <w:sz w:val="24"/>
          <w:szCs w:val="24"/>
          <w:lang w:val="ro-RO"/>
        </w:rPr>
        <w:t>.</w:t>
      </w:r>
      <w:r w:rsidR="0043440C">
        <w:rPr>
          <w:rFonts w:cs="Trebuchet MS"/>
          <w:sz w:val="24"/>
          <w:szCs w:val="24"/>
          <w:lang w:val="ro-RO"/>
        </w:rPr>
        <w:t>020</w:t>
      </w:r>
      <w:r w:rsidR="00A3216F">
        <w:rPr>
          <w:rFonts w:cs="Trebuchet MS"/>
          <w:sz w:val="24"/>
          <w:szCs w:val="24"/>
          <w:lang w:val="ro-RO"/>
        </w:rPr>
        <w:t>,</w:t>
      </w:r>
      <w:r w:rsidR="0043440C">
        <w:rPr>
          <w:rFonts w:cs="Trebuchet MS"/>
          <w:sz w:val="24"/>
          <w:szCs w:val="24"/>
          <w:lang w:val="ro-RO"/>
        </w:rPr>
        <w:t>68</w:t>
      </w:r>
      <w:r w:rsidR="00CD3E81" w:rsidRPr="00EB5B27">
        <w:rPr>
          <w:rFonts w:cs="Trebuchet MS"/>
          <w:sz w:val="24"/>
          <w:szCs w:val="24"/>
          <w:lang w:val="ro-RO"/>
        </w:rPr>
        <w:t xml:space="preserve"> lei</w:t>
      </w:r>
      <w:r w:rsidRPr="00EB5B27">
        <w:rPr>
          <w:rFonts w:cs="Trebuchet MS"/>
          <w:sz w:val="24"/>
          <w:szCs w:val="24"/>
          <w:lang w:val="ro-RO"/>
        </w:rPr>
        <w:t xml:space="preserve"> </w:t>
      </w:r>
    </w:p>
    <w:p w:rsidR="00A3216F" w:rsidRDefault="009E1E66" w:rsidP="00C94915">
      <w:pPr>
        <w:autoSpaceDE w:val="0"/>
        <w:autoSpaceDN w:val="0"/>
        <w:adjustRightInd w:val="0"/>
        <w:spacing w:after="0" w:line="240" w:lineRule="auto"/>
        <w:jc w:val="both"/>
        <w:rPr>
          <w:rFonts w:cs="Trebuchet MS"/>
          <w:bCs/>
          <w:sz w:val="24"/>
          <w:szCs w:val="24"/>
          <w:lang w:val="ro-RO"/>
        </w:rPr>
      </w:pPr>
      <w:r>
        <w:rPr>
          <w:rFonts w:cs="Trebuchet MS"/>
          <w:b/>
          <w:sz w:val="24"/>
          <w:szCs w:val="24"/>
          <w:lang w:val="ro-RO"/>
        </w:rPr>
        <w:t>V</w:t>
      </w:r>
      <w:r w:rsidR="007E35C9" w:rsidRPr="009E1E66">
        <w:rPr>
          <w:rFonts w:cs="Trebuchet MS"/>
          <w:b/>
          <w:sz w:val="24"/>
          <w:szCs w:val="24"/>
          <w:lang w:val="ro-RO"/>
        </w:rPr>
        <w:t>aloarea nerambursabilă finanțată din PNRR</w:t>
      </w:r>
      <w:r>
        <w:rPr>
          <w:rFonts w:cs="Trebuchet MS"/>
          <w:sz w:val="24"/>
          <w:szCs w:val="24"/>
          <w:lang w:val="ro-RO"/>
        </w:rPr>
        <w:t>:</w:t>
      </w:r>
      <w:r w:rsidR="007E35C9" w:rsidRPr="009E1E66">
        <w:rPr>
          <w:rFonts w:cs="Trebuchet MS"/>
          <w:sz w:val="24"/>
          <w:szCs w:val="24"/>
          <w:lang w:val="ro-RO"/>
        </w:rPr>
        <w:t xml:space="preserve"> </w:t>
      </w:r>
      <w:r w:rsidR="0043440C">
        <w:rPr>
          <w:rFonts w:cs="Trebuchet MS"/>
          <w:bCs/>
          <w:sz w:val="24"/>
          <w:szCs w:val="24"/>
          <w:lang w:val="ro-RO"/>
        </w:rPr>
        <w:t>3</w:t>
      </w:r>
      <w:r w:rsidR="00A3216F" w:rsidRPr="00A3216F">
        <w:rPr>
          <w:rFonts w:cs="Trebuchet MS"/>
          <w:bCs/>
          <w:sz w:val="24"/>
          <w:szCs w:val="24"/>
          <w:lang w:val="ro-RO"/>
        </w:rPr>
        <w:t>.</w:t>
      </w:r>
      <w:r w:rsidR="0043440C">
        <w:rPr>
          <w:rFonts w:cs="Trebuchet MS"/>
          <w:bCs/>
          <w:sz w:val="24"/>
          <w:szCs w:val="24"/>
          <w:lang w:val="ro-RO"/>
        </w:rPr>
        <w:t>830</w:t>
      </w:r>
      <w:r w:rsidR="00A3216F" w:rsidRPr="00A3216F">
        <w:rPr>
          <w:rFonts w:cs="Trebuchet MS"/>
          <w:bCs/>
          <w:sz w:val="24"/>
          <w:szCs w:val="24"/>
          <w:lang w:val="ro-RO"/>
        </w:rPr>
        <w:t>.</w:t>
      </w:r>
      <w:r w:rsidR="0043440C">
        <w:rPr>
          <w:rFonts w:cs="Trebuchet MS"/>
          <w:bCs/>
          <w:sz w:val="24"/>
          <w:szCs w:val="24"/>
          <w:lang w:val="ro-RO"/>
        </w:rPr>
        <w:t>913</w:t>
      </w:r>
      <w:r w:rsidR="00A3216F" w:rsidRPr="00A3216F">
        <w:rPr>
          <w:rFonts w:cs="Trebuchet MS"/>
          <w:bCs/>
          <w:sz w:val="24"/>
          <w:szCs w:val="24"/>
          <w:lang w:val="ro-RO"/>
        </w:rPr>
        <w:t>,</w:t>
      </w:r>
      <w:r w:rsidR="0043440C">
        <w:rPr>
          <w:rFonts w:cs="Trebuchet MS"/>
          <w:bCs/>
          <w:sz w:val="24"/>
          <w:szCs w:val="24"/>
          <w:lang w:val="ro-RO"/>
        </w:rPr>
        <w:t>04</w:t>
      </w:r>
      <w:r w:rsidR="00A3216F" w:rsidRPr="00A3216F">
        <w:rPr>
          <w:rFonts w:cs="Trebuchet MS"/>
          <w:bCs/>
          <w:sz w:val="24"/>
          <w:szCs w:val="24"/>
          <w:lang w:val="ro-RO"/>
        </w:rPr>
        <w:t xml:space="preserve"> lei</w:t>
      </w:r>
    </w:p>
    <w:p w:rsidR="00A3216F" w:rsidRPr="00A3216F" w:rsidRDefault="00A3216F" w:rsidP="00C94915">
      <w:pPr>
        <w:autoSpaceDE w:val="0"/>
        <w:autoSpaceDN w:val="0"/>
        <w:adjustRightInd w:val="0"/>
        <w:spacing w:after="0" w:line="240" w:lineRule="auto"/>
        <w:jc w:val="both"/>
        <w:rPr>
          <w:rFonts w:cs="Trebuchet MS"/>
          <w:b/>
          <w:sz w:val="24"/>
          <w:szCs w:val="24"/>
          <w:lang w:val="ro-RO"/>
        </w:rPr>
      </w:pPr>
      <w:r w:rsidRPr="00A3216F">
        <w:rPr>
          <w:rFonts w:cs="Trebuchet MS"/>
          <w:b/>
          <w:sz w:val="24"/>
          <w:szCs w:val="24"/>
          <w:lang w:val="ro-RO"/>
        </w:rPr>
        <w:t>Date de contact:</w:t>
      </w:r>
    </w:p>
    <w:p w:rsidR="00A3216F" w:rsidRDefault="00A3216F" w:rsidP="00C94915">
      <w:pPr>
        <w:autoSpaceDE w:val="0"/>
        <w:autoSpaceDN w:val="0"/>
        <w:adjustRightInd w:val="0"/>
        <w:spacing w:after="0" w:line="240" w:lineRule="auto"/>
        <w:jc w:val="both"/>
        <w:rPr>
          <w:rFonts w:cs="Trebuchet MS"/>
          <w:b/>
          <w:sz w:val="24"/>
          <w:szCs w:val="24"/>
          <w:lang w:val="ro-RO"/>
        </w:rPr>
      </w:pPr>
      <w:r w:rsidRPr="00A3216F">
        <w:rPr>
          <w:rFonts w:cs="Trebuchet MS"/>
          <w:b/>
          <w:sz w:val="24"/>
          <w:szCs w:val="24"/>
          <w:lang w:val="ro-RO"/>
        </w:rPr>
        <w:t xml:space="preserve">Primăria </w:t>
      </w:r>
      <w:r w:rsidR="005033D6">
        <w:rPr>
          <w:rFonts w:cs="Trebuchet MS"/>
          <w:b/>
          <w:sz w:val="24"/>
          <w:szCs w:val="24"/>
          <w:lang w:val="ro-RO"/>
        </w:rPr>
        <w:t>Lespezi</w:t>
      </w:r>
    </w:p>
    <w:p w:rsidR="00DD71B5" w:rsidRDefault="00DD71B5" w:rsidP="00C94915">
      <w:pPr>
        <w:autoSpaceDE w:val="0"/>
        <w:autoSpaceDN w:val="0"/>
        <w:adjustRightInd w:val="0"/>
        <w:spacing w:after="0" w:line="240" w:lineRule="auto"/>
        <w:jc w:val="both"/>
        <w:rPr>
          <w:rFonts w:cs="Trebuchet MS"/>
          <w:bCs/>
          <w:sz w:val="24"/>
          <w:szCs w:val="24"/>
          <w:lang w:val="ro-RO"/>
        </w:rPr>
      </w:pPr>
      <w:r>
        <w:rPr>
          <w:rFonts w:cs="Trebuchet MS"/>
          <w:bCs/>
          <w:sz w:val="24"/>
          <w:szCs w:val="24"/>
          <w:lang w:val="ro-RO"/>
        </w:rPr>
        <w:t xml:space="preserve">Adresa: Sat </w:t>
      </w:r>
      <w:r w:rsidR="005033D6">
        <w:rPr>
          <w:rFonts w:cs="Trebuchet MS"/>
          <w:bCs/>
          <w:sz w:val="24"/>
          <w:szCs w:val="24"/>
          <w:lang w:val="ro-RO"/>
        </w:rPr>
        <w:t>Lespezi</w:t>
      </w:r>
      <w:r>
        <w:rPr>
          <w:rFonts w:cs="Trebuchet MS"/>
          <w:bCs/>
          <w:sz w:val="24"/>
          <w:szCs w:val="24"/>
          <w:lang w:val="ro-RO"/>
        </w:rPr>
        <w:t xml:space="preserve">, </w:t>
      </w:r>
      <w:r w:rsidR="005033D6">
        <w:rPr>
          <w:rFonts w:cs="Trebuchet MS"/>
          <w:bCs/>
          <w:sz w:val="24"/>
          <w:szCs w:val="24"/>
          <w:lang w:val="ro-RO"/>
        </w:rPr>
        <w:t>Comuna Lespezi, Județul Iași</w:t>
      </w:r>
    </w:p>
    <w:p w:rsidR="00DD71B5" w:rsidRPr="00DD71B5" w:rsidRDefault="00DD71B5" w:rsidP="00C94915">
      <w:pPr>
        <w:autoSpaceDE w:val="0"/>
        <w:autoSpaceDN w:val="0"/>
        <w:adjustRightInd w:val="0"/>
        <w:spacing w:after="0" w:line="240" w:lineRule="auto"/>
        <w:jc w:val="both"/>
        <w:rPr>
          <w:rFonts w:cs="Trebuchet MS"/>
          <w:bCs/>
          <w:sz w:val="24"/>
          <w:szCs w:val="24"/>
          <w:lang w:val="ro-RO"/>
        </w:rPr>
      </w:pPr>
      <w:r>
        <w:rPr>
          <w:rFonts w:cs="Trebuchet MS"/>
          <w:bCs/>
          <w:sz w:val="24"/>
          <w:szCs w:val="24"/>
          <w:lang w:val="ro-RO"/>
        </w:rPr>
        <w:t xml:space="preserve">Tel: </w:t>
      </w:r>
      <w:r w:rsidR="00B76DE4" w:rsidRPr="00B76DE4">
        <w:rPr>
          <w:rFonts w:cs="Trebuchet MS"/>
          <w:bCs/>
          <w:sz w:val="24"/>
          <w:szCs w:val="24"/>
          <w:lang w:val="ro-RO"/>
        </w:rPr>
        <w:t>0744782370</w:t>
      </w:r>
      <w:r>
        <w:rPr>
          <w:rFonts w:cs="Trebuchet MS"/>
          <w:bCs/>
          <w:sz w:val="24"/>
          <w:szCs w:val="24"/>
          <w:lang w:val="ro-RO"/>
        </w:rPr>
        <w:t xml:space="preserve">, Fax: </w:t>
      </w:r>
      <w:r w:rsidR="00B76DE4" w:rsidRPr="00B76DE4">
        <w:rPr>
          <w:rFonts w:cs="Trebuchet MS"/>
          <w:bCs/>
          <w:sz w:val="24"/>
          <w:szCs w:val="24"/>
          <w:lang w:val="ro-RO"/>
        </w:rPr>
        <w:t>0232732975</w:t>
      </w:r>
      <w:r>
        <w:rPr>
          <w:rFonts w:cs="Trebuchet MS"/>
          <w:bCs/>
          <w:sz w:val="24"/>
          <w:szCs w:val="24"/>
          <w:lang w:val="ro-RO"/>
        </w:rPr>
        <w:t xml:space="preserve">, Email: </w:t>
      </w:r>
      <w:hyperlink r:id="rId6" w:history="1">
        <w:r w:rsidR="00B76DE4" w:rsidRPr="00EC6605">
          <w:rPr>
            <w:rStyle w:val="Hyperlink"/>
          </w:rPr>
          <w:t>primarialespezi@yahoo.com</w:t>
        </w:r>
      </w:hyperlink>
      <w:r w:rsidR="00B76DE4">
        <w:t xml:space="preserve"> </w:t>
      </w:r>
      <w:r>
        <w:rPr>
          <w:rFonts w:cs="Trebuchet MS"/>
          <w:bCs/>
          <w:sz w:val="24"/>
          <w:szCs w:val="24"/>
          <w:lang w:val="ro-RO"/>
        </w:rPr>
        <w:t xml:space="preserve"> </w:t>
      </w:r>
    </w:p>
    <w:p w:rsidR="00CD3E81" w:rsidRPr="00C67197" w:rsidRDefault="00CD3E81" w:rsidP="00C94915">
      <w:pPr>
        <w:autoSpaceDE w:val="0"/>
        <w:autoSpaceDN w:val="0"/>
        <w:adjustRightInd w:val="0"/>
        <w:spacing w:after="0" w:line="240" w:lineRule="auto"/>
        <w:jc w:val="both"/>
        <w:rPr>
          <w:rFonts w:cs="Trebuchet MS"/>
          <w:color w:val="FF0000"/>
          <w:sz w:val="6"/>
          <w:szCs w:val="6"/>
          <w:lang w:val="ro-RO"/>
        </w:rPr>
      </w:pPr>
    </w:p>
    <w:p w:rsidR="00CD3E81" w:rsidRPr="00C67197" w:rsidRDefault="00CD3E81" w:rsidP="007E35C9">
      <w:pPr>
        <w:autoSpaceDE w:val="0"/>
        <w:autoSpaceDN w:val="0"/>
        <w:adjustRightInd w:val="0"/>
        <w:spacing w:after="0" w:line="240" w:lineRule="auto"/>
        <w:rPr>
          <w:rFonts w:cs="Trebuchet MS"/>
          <w:color w:val="FF0000"/>
          <w:sz w:val="6"/>
          <w:szCs w:val="24"/>
          <w:lang w:val="ro-RO"/>
        </w:rPr>
      </w:pPr>
    </w:p>
    <w:p w:rsidR="00F65FB8" w:rsidRPr="00F65FB8" w:rsidRDefault="00F65FB8" w:rsidP="00F65FB8">
      <w:pPr>
        <w:widowControl w:val="0"/>
        <w:autoSpaceDE w:val="0"/>
        <w:autoSpaceDN w:val="0"/>
        <w:spacing w:before="162" w:after="0" w:line="240" w:lineRule="auto"/>
        <w:ind w:right="-425"/>
        <w:jc w:val="center"/>
        <w:rPr>
          <w:rFonts w:ascii="Calibri" w:eastAsia="Calibri" w:hAnsi="Calibri" w:cs="Calibri"/>
          <w:color w:val="2F5496" w:themeColor="accent5" w:themeShade="BF"/>
          <w:sz w:val="20"/>
          <w:szCs w:val="24"/>
          <w:lang w:val="ro-RO"/>
        </w:rPr>
      </w:pPr>
      <w:r w:rsidRPr="00F65FB8">
        <w:rPr>
          <w:rFonts w:ascii="Calibri" w:eastAsia="Calibri" w:hAnsi="Calibri" w:cs="Calibri"/>
          <w:color w:val="2F5496" w:themeColor="accent5" w:themeShade="BF"/>
          <w:sz w:val="20"/>
          <w:szCs w:val="24"/>
          <w:lang w:val="ro-RO"/>
        </w:rPr>
        <w:t>„Conținutul</w:t>
      </w:r>
      <w:r w:rsidRPr="00F65FB8">
        <w:rPr>
          <w:rFonts w:ascii="Calibri" w:eastAsia="Calibri" w:hAnsi="Calibri" w:cs="Calibri"/>
          <w:color w:val="2F5496" w:themeColor="accent5" w:themeShade="BF"/>
          <w:spacing w:val="1"/>
          <w:sz w:val="20"/>
          <w:szCs w:val="24"/>
          <w:lang w:val="ro-RO"/>
        </w:rPr>
        <w:t xml:space="preserve"> </w:t>
      </w:r>
      <w:r w:rsidRPr="00F65FB8">
        <w:rPr>
          <w:rFonts w:ascii="Calibri" w:eastAsia="Calibri" w:hAnsi="Calibri" w:cs="Calibri"/>
          <w:color w:val="2F5496" w:themeColor="accent5" w:themeShade="BF"/>
          <w:sz w:val="20"/>
          <w:szCs w:val="24"/>
          <w:lang w:val="ro-RO"/>
        </w:rPr>
        <w:t>acestui material nu reprezintă în mod obligatoriu poziția oficială a Uniunii Europene sau</w:t>
      </w:r>
      <w:r w:rsidRPr="00F65FB8">
        <w:rPr>
          <w:rFonts w:ascii="Calibri" w:eastAsia="Calibri" w:hAnsi="Calibri" w:cs="Calibri"/>
          <w:color w:val="2F5496" w:themeColor="accent5" w:themeShade="BF"/>
          <w:spacing w:val="1"/>
          <w:sz w:val="20"/>
          <w:szCs w:val="24"/>
          <w:lang w:val="ro-RO"/>
        </w:rPr>
        <w:t xml:space="preserve"> </w:t>
      </w:r>
      <w:r w:rsidRPr="00F65FB8">
        <w:rPr>
          <w:rFonts w:ascii="Calibri" w:eastAsia="Calibri" w:hAnsi="Calibri" w:cs="Calibri"/>
          <w:color w:val="2F5496" w:themeColor="accent5" w:themeShade="BF"/>
          <w:sz w:val="20"/>
          <w:szCs w:val="24"/>
          <w:lang w:val="ro-RO"/>
        </w:rPr>
        <w:t>a</w:t>
      </w:r>
      <w:r w:rsidRPr="00F65FB8">
        <w:rPr>
          <w:rFonts w:ascii="Calibri" w:eastAsia="Calibri" w:hAnsi="Calibri" w:cs="Calibri"/>
          <w:color w:val="2F5496" w:themeColor="accent5" w:themeShade="BF"/>
          <w:spacing w:val="1"/>
          <w:sz w:val="20"/>
          <w:szCs w:val="24"/>
          <w:lang w:val="ro-RO"/>
        </w:rPr>
        <w:t xml:space="preserve"> </w:t>
      </w:r>
      <w:r>
        <w:rPr>
          <w:rFonts w:ascii="Calibri" w:eastAsia="Calibri" w:hAnsi="Calibri" w:cs="Calibri"/>
          <w:color w:val="2F5496" w:themeColor="accent5" w:themeShade="BF"/>
          <w:sz w:val="20"/>
          <w:szCs w:val="24"/>
          <w:lang w:val="ro-RO"/>
        </w:rPr>
        <w:t>Guvernului României”</w:t>
      </w:r>
    </w:p>
    <w:p w:rsidR="00F65FB8" w:rsidRDefault="00F65FB8" w:rsidP="007E35C9">
      <w:pPr>
        <w:autoSpaceDE w:val="0"/>
        <w:autoSpaceDN w:val="0"/>
        <w:adjustRightInd w:val="0"/>
        <w:spacing w:after="0" w:line="240" w:lineRule="auto"/>
        <w:rPr>
          <w:rFonts w:ascii="Trebuchet MS" w:hAnsi="Trebuchet MS" w:cs="Trebuchet MS"/>
          <w:color w:val="FF0000"/>
          <w:sz w:val="23"/>
          <w:szCs w:val="23"/>
          <w:lang w:val="ro-RO"/>
        </w:rPr>
      </w:pPr>
    </w:p>
    <w:p w:rsidR="005115A7" w:rsidRDefault="005115A7" w:rsidP="005115A7">
      <w:pPr>
        <w:autoSpaceDE w:val="0"/>
        <w:autoSpaceDN w:val="0"/>
        <w:adjustRightInd w:val="0"/>
        <w:spacing w:after="0" w:line="240" w:lineRule="auto"/>
        <w:jc w:val="center"/>
        <w:rPr>
          <w:rFonts w:ascii="Trebuchet MS" w:hAnsi="Trebuchet MS" w:cs="Trebuchet MS"/>
          <w:color w:val="FF0000"/>
          <w:sz w:val="23"/>
          <w:szCs w:val="23"/>
          <w:lang w:val="ro-RO"/>
        </w:rPr>
      </w:pPr>
      <w:r w:rsidRPr="005115A7">
        <w:rPr>
          <w:rFonts w:ascii="Trebuchet MS" w:hAnsi="Trebuchet MS" w:cs="Trebuchet MS"/>
          <w:noProof/>
          <w:color w:val="FF0000"/>
          <w:sz w:val="23"/>
          <w:szCs w:val="23"/>
          <w:lang w:val="en-US"/>
        </w:rPr>
        <w:drawing>
          <wp:inline distT="0" distB="0" distL="0" distR="0">
            <wp:extent cx="5514975" cy="138628"/>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95120" cy="150697"/>
                    </a:xfrm>
                    <a:prstGeom prst="rect">
                      <a:avLst/>
                    </a:prstGeom>
                    <a:noFill/>
                    <a:ln>
                      <a:noFill/>
                    </a:ln>
                  </pic:spPr>
                </pic:pic>
              </a:graphicData>
            </a:graphic>
          </wp:inline>
        </w:drawing>
      </w:r>
    </w:p>
    <w:p w:rsidR="00F65FB8" w:rsidRPr="00E85CF7" w:rsidRDefault="005115A7" w:rsidP="005115A7">
      <w:pPr>
        <w:autoSpaceDE w:val="0"/>
        <w:autoSpaceDN w:val="0"/>
        <w:adjustRightInd w:val="0"/>
        <w:spacing w:after="0" w:line="276" w:lineRule="auto"/>
        <w:jc w:val="center"/>
        <w:rPr>
          <w:rFonts w:ascii="Trebuchet MS" w:hAnsi="Trebuchet MS" w:cs="Trebuchet MS"/>
          <w:b/>
          <w:color w:val="2F5496" w:themeColor="accent5" w:themeShade="BF"/>
          <w:sz w:val="23"/>
          <w:szCs w:val="23"/>
          <w:lang w:val="ro-RO"/>
        </w:rPr>
      </w:pPr>
      <w:r w:rsidRPr="00E85CF7">
        <w:rPr>
          <w:rFonts w:ascii="Calibri" w:eastAsia="Calibri" w:hAnsi="Calibri" w:cs="Calibri"/>
          <w:b/>
          <w:color w:val="2F5496" w:themeColor="accent5" w:themeShade="BF"/>
          <w:sz w:val="24"/>
          <w:lang w:val="ro-RO"/>
        </w:rPr>
        <w:t>„PNRR.</w:t>
      </w:r>
      <w:r w:rsidRPr="00E85CF7">
        <w:rPr>
          <w:rFonts w:ascii="Calibri" w:eastAsia="Calibri" w:hAnsi="Calibri" w:cs="Calibri"/>
          <w:b/>
          <w:color w:val="2F5496" w:themeColor="accent5" w:themeShade="BF"/>
          <w:spacing w:val="1"/>
          <w:sz w:val="24"/>
          <w:lang w:val="ro-RO"/>
        </w:rPr>
        <w:t xml:space="preserve"> </w:t>
      </w:r>
      <w:r w:rsidRPr="00E85CF7">
        <w:rPr>
          <w:rFonts w:ascii="Calibri" w:eastAsia="Calibri" w:hAnsi="Calibri" w:cs="Calibri"/>
          <w:b/>
          <w:color w:val="2F5496" w:themeColor="accent5" w:themeShade="BF"/>
          <w:sz w:val="24"/>
          <w:lang w:val="ro-RO"/>
        </w:rPr>
        <w:t>Finanțat</w:t>
      </w:r>
      <w:r w:rsidRPr="00E85CF7">
        <w:rPr>
          <w:rFonts w:ascii="Calibri" w:eastAsia="Calibri" w:hAnsi="Calibri" w:cs="Calibri"/>
          <w:b/>
          <w:color w:val="2F5496" w:themeColor="accent5" w:themeShade="BF"/>
          <w:spacing w:val="1"/>
          <w:sz w:val="24"/>
          <w:lang w:val="ro-RO"/>
        </w:rPr>
        <w:t xml:space="preserve"> </w:t>
      </w:r>
      <w:r w:rsidRPr="00E85CF7">
        <w:rPr>
          <w:rFonts w:ascii="Calibri" w:eastAsia="Calibri" w:hAnsi="Calibri" w:cs="Calibri"/>
          <w:b/>
          <w:color w:val="2F5496" w:themeColor="accent5" w:themeShade="BF"/>
          <w:sz w:val="24"/>
          <w:lang w:val="ro-RO"/>
        </w:rPr>
        <w:t>de</w:t>
      </w:r>
      <w:r w:rsidRPr="00E85CF7">
        <w:rPr>
          <w:rFonts w:ascii="Calibri" w:eastAsia="Calibri" w:hAnsi="Calibri" w:cs="Calibri"/>
          <w:b/>
          <w:color w:val="2F5496" w:themeColor="accent5" w:themeShade="BF"/>
          <w:spacing w:val="1"/>
          <w:sz w:val="24"/>
          <w:lang w:val="ro-RO"/>
        </w:rPr>
        <w:t xml:space="preserve"> </w:t>
      </w:r>
      <w:r w:rsidRPr="00E85CF7">
        <w:rPr>
          <w:rFonts w:ascii="Calibri" w:eastAsia="Calibri" w:hAnsi="Calibri" w:cs="Calibri"/>
          <w:b/>
          <w:color w:val="2F5496" w:themeColor="accent5" w:themeShade="BF"/>
          <w:sz w:val="24"/>
          <w:lang w:val="ro-RO"/>
        </w:rPr>
        <w:t>Uniunea</w:t>
      </w:r>
      <w:r w:rsidRPr="00E85CF7">
        <w:rPr>
          <w:rFonts w:ascii="Calibri" w:eastAsia="Calibri" w:hAnsi="Calibri" w:cs="Calibri"/>
          <w:b/>
          <w:color w:val="2F5496" w:themeColor="accent5" w:themeShade="BF"/>
          <w:spacing w:val="1"/>
          <w:sz w:val="24"/>
          <w:lang w:val="ro-RO"/>
        </w:rPr>
        <w:t xml:space="preserve"> </w:t>
      </w:r>
      <w:r w:rsidRPr="00E85CF7">
        <w:rPr>
          <w:rFonts w:ascii="Calibri" w:eastAsia="Calibri" w:hAnsi="Calibri" w:cs="Calibri"/>
          <w:b/>
          <w:color w:val="2F5496" w:themeColor="accent5" w:themeShade="BF"/>
          <w:sz w:val="24"/>
          <w:lang w:val="ro-RO"/>
        </w:rPr>
        <w:t>Europeană</w:t>
      </w:r>
      <w:r w:rsidRPr="00E85CF7">
        <w:rPr>
          <w:rFonts w:ascii="Calibri" w:eastAsia="Calibri" w:hAnsi="Calibri" w:cs="Calibri"/>
          <w:b/>
          <w:color w:val="2F5496" w:themeColor="accent5" w:themeShade="BF"/>
          <w:spacing w:val="1"/>
          <w:sz w:val="24"/>
          <w:lang w:val="ro-RO"/>
        </w:rPr>
        <w:t xml:space="preserve"> </w:t>
      </w:r>
      <w:r w:rsidRPr="00E85CF7">
        <w:rPr>
          <w:rFonts w:ascii="Calibri" w:eastAsia="Calibri" w:hAnsi="Calibri" w:cs="Calibri"/>
          <w:b/>
          <w:color w:val="2F5496" w:themeColor="accent5" w:themeShade="BF"/>
          <w:sz w:val="24"/>
          <w:lang w:val="ro-RO"/>
        </w:rPr>
        <w:t>–</w:t>
      </w:r>
      <w:r w:rsidRPr="00E85CF7">
        <w:rPr>
          <w:rFonts w:ascii="Calibri" w:eastAsia="Calibri" w:hAnsi="Calibri" w:cs="Calibri"/>
          <w:b/>
          <w:color w:val="2F5496" w:themeColor="accent5" w:themeShade="BF"/>
          <w:spacing w:val="1"/>
          <w:sz w:val="24"/>
          <w:lang w:val="ro-RO"/>
        </w:rPr>
        <w:t xml:space="preserve"> </w:t>
      </w:r>
      <w:r w:rsidRPr="00E85CF7">
        <w:rPr>
          <w:rFonts w:ascii="Calibri" w:eastAsia="Calibri" w:hAnsi="Calibri" w:cs="Calibri"/>
          <w:b/>
          <w:color w:val="2F5496" w:themeColor="accent5" w:themeShade="BF"/>
          <w:sz w:val="24"/>
          <w:lang w:val="ro-RO"/>
        </w:rPr>
        <w:t>UrmătoareaGenerațieUE”</w:t>
      </w:r>
    </w:p>
    <w:p w:rsidR="005115A7" w:rsidRPr="005115A7" w:rsidRDefault="005115A7" w:rsidP="005115A7">
      <w:pPr>
        <w:autoSpaceDE w:val="0"/>
        <w:autoSpaceDN w:val="0"/>
        <w:adjustRightInd w:val="0"/>
        <w:spacing w:after="0" w:line="276" w:lineRule="auto"/>
        <w:rPr>
          <w:rFonts w:ascii="Calibri" w:hAnsi="Calibri" w:cs="Calibri"/>
          <w:b/>
          <w:bCs/>
          <w:color w:val="2F5496" w:themeColor="accent5" w:themeShade="BF"/>
          <w:sz w:val="23"/>
          <w:szCs w:val="23"/>
          <w:lang w:val="ro-RO"/>
        </w:rPr>
      </w:pPr>
      <w:r w:rsidRPr="005115A7">
        <w:rPr>
          <w:rFonts w:ascii="Calibri" w:eastAsia="Calibri" w:hAnsi="Calibri" w:cs="Calibri"/>
          <w:color w:val="2F5496" w:themeColor="accent5" w:themeShade="BF"/>
          <w:sz w:val="24"/>
          <w:lang w:val="ro-RO"/>
        </w:rPr>
        <w:t xml:space="preserve">   </w:t>
      </w:r>
      <w:r>
        <w:rPr>
          <w:rFonts w:ascii="Calibri" w:eastAsia="Calibri" w:hAnsi="Calibri" w:cs="Calibri"/>
          <w:color w:val="2F5496" w:themeColor="accent5" w:themeShade="BF"/>
          <w:sz w:val="24"/>
          <w:lang w:val="ro-RO"/>
        </w:rPr>
        <w:t xml:space="preserve">                       </w:t>
      </w:r>
      <w:hyperlink r:id="rId8">
        <w:r w:rsidRPr="005115A7">
          <w:rPr>
            <w:rFonts w:ascii="Calibri" w:eastAsia="Calibri" w:hAnsi="Calibri" w:cs="Calibri"/>
            <w:color w:val="2F5496" w:themeColor="accent5" w:themeShade="BF"/>
            <w:sz w:val="24"/>
            <w:lang w:val="ro-RO"/>
          </w:rPr>
          <w:t>https://mfe.gov.ro/pnrr/</w:t>
        </w:r>
      </w:hyperlink>
      <w:r w:rsidRPr="005115A7">
        <w:rPr>
          <w:rFonts w:ascii="Calibri" w:eastAsia="Calibri" w:hAnsi="Calibri" w:cs="Calibri"/>
          <w:color w:val="2F5496" w:themeColor="accent5" w:themeShade="BF"/>
          <w:sz w:val="24"/>
          <w:lang w:val="ro-RO"/>
        </w:rPr>
        <w:t xml:space="preserve">  </w:t>
      </w:r>
      <w:r w:rsidR="00E85CF7">
        <w:rPr>
          <w:rFonts w:ascii="Calibri" w:eastAsia="Calibri" w:hAnsi="Calibri" w:cs="Calibri"/>
          <w:color w:val="2F5496" w:themeColor="accent5" w:themeShade="BF"/>
          <w:sz w:val="24"/>
          <w:lang w:val="ro-RO"/>
        </w:rPr>
        <w:t xml:space="preserve">    </w:t>
      </w:r>
      <w:r w:rsidRPr="005115A7">
        <w:rPr>
          <w:rFonts w:ascii="Calibri" w:eastAsia="Calibri" w:hAnsi="Calibri" w:cs="Calibri"/>
          <w:color w:val="2F5496" w:themeColor="accent5" w:themeShade="BF"/>
          <w:sz w:val="24"/>
          <w:lang w:val="ro-RO"/>
        </w:rPr>
        <w:t xml:space="preserve">  https://www.facebook.com/PNRROficial/</w:t>
      </w:r>
    </w:p>
    <w:sectPr w:rsidR="005115A7" w:rsidRPr="005115A7" w:rsidSect="009E1E66">
      <w:pgSz w:w="11906" w:h="16838"/>
      <w:pgMar w:top="709" w:right="849" w:bottom="28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itter">
    <w:panose1 w:val="02000000000000000000"/>
    <w:charset w:val="00"/>
    <w:family w:val="auto"/>
    <w:pitch w:val="variable"/>
    <w:sig w:usb0="800000AF" w:usb1="4000204A" w:usb2="00000000" w:usb3="00000000" w:csb0="0000009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21B3"/>
    <w:multiLevelType w:val="hybridMultilevel"/>
    <w:tmpl w:val="5240DA3C"/>
    <w:lvl w:ilvl="0" w:tplc="D13C8F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37327F"/>
    <w:multiLevelType w:val="hybridMultilevel"/>
    <w:tmpl w:val="BC9064BA"/>
    <w:lvl w:ilvl="0" w:tplc="AE6033E0">
      <w:numFmt w:val="bullet"/>
      <w:lvlText w:val="-"/>
      <w:lvlJc w:val="left"/>
      <w:pPr>
        <w:ind w:left="580" w:hanging="128"/>
      </w:pPr>
      <w:rPr>
        <w:rFonts w:ascii="Calibri" w:eastAsia="Calibri" w:hAnsi="Calibri" w:cs="Calibri" w:hint="default"/>
        <w:w w:val="100"/>
        <w:sz w:val="24"/>
        <w:szCs w:val="24"/>
        <w:lang w:val="ro-RO" w:eastAsia="en-US" w:bidi="ar-SA"/>
      </w:rPr>
    </w:lvl>
    <w:lvl w:ilvl="1" w:tplc="836E7490">
      <w:numFmt w:val="bullet"/>
      <w:lvlText w:val=""/>
      <w:lvlJc w:val="left"/>
      <w:pPr>
        <w:ind w:left="1300" w:hanging="360"/>
      </w:pPr>
      <w:rPr>
        <w:rFonts w:ascii="Symbol" w:eastAsia="Symbol" w:hAnsi="Symbol" w:cs="Symbol" w:hint="default"/>
        <w:w w:val="100"/>
        <w:sz w:val="20"/>
        <w:szCs w:val="20"/>
        <w:lang w:val="ro-RO" w:eastAsia="en-US" w:bidi="ar-SA"/>
      </w:rPr>
    </w:lvl>
    <w:lvl w:ilvl="2" w:tplc="550E8392">
      <w:numFmt w:val="bullet"/>
      <w:lvlText w:val=""/>
      <w:lvlJc w:val="left"/>
      <w:pPr>
        <w:ind w:left="2009" w:hanging="360"/>
      </w:pPr>
      <w:rPr>
        <w:rFonts w:ascii="Symbol" w:eastAsia="Symbol" w:hAnsi="Symbol" w:cs="Symbol" w:hint="default"/>
        <w:w w:val="100"/>
        <w:sz w:val="20"/>
        <w:szCs w:val="20"/>
        <w:lang w:val="ro-RO" w:eastAsia="en-US" w:bidi="ar-SA"/>
      </w:rPr>
    </w:lvl>
    <w:lvl w:ilvl="3" w:tplc="F028D43A">
      <w:numFmt w:val="bullet"/>
      <w:lvlText w:val="•"/>
      <w:lvlJc w:val="left"/>
      <w:pPr>
        <w:ind w:left="3172" w:hanging="360"/>
      </w:pPr>
      <w:rPr>
        <w:rFonts w:hint="default"/>
        <w:lang w:val="ro-RO" w:eastAsia="en-US" w:bidi="ar-SA"/>
      </w:rPr>
    </w:lvl>
    <w:lvl w:ilvl="4" w:tplc="59CC4DC0">
      <w:numFmt w:val="bullet"/>
      <w:lvlText w:val="•"/>
      <w:lvlJc w:val="left"/>
      <w:pPr>
        <w:ind w:left="4345" w:hanging="360"/>
      </w:pPr>
      <w:rPr>
        <w:rFonts w:hint="default"/>
        <w:lang w:val="ro-RO" w:eastAsia="en-US" w:bidi="ar-SA"/>
      </w:rPr>
    </w:lvl>
    <w:lvl w:ilvl="5" w:tplc="3BFC9136">
      <w:numFmt w:val="bullet"/>
      <w:lvlText w:val="•"/>
      <w:lvlJc w:val="left"/>
      <w:pPr>
        <w:ind w:left="5517" w:hanging="360"/>
      </w:pPr>
      <w:rPr>
        <w:rFonts w:hint="default"/>
        <w:lang w:val="ro-RO" w:eastAsia="en-US" w:bidi="ar-SA"/>
      </w:rPr>
    </w:lvl>
    <w:lvl w:ilvl="6" w:tplc="35404BFC">
      <w:numFmt w:val="bullet"/>
      <w:lvlText w:val="•"/>
      <w:lvlJc w:val="left"/>
      <w:pPr>
        <w:ind w:left="6690" w:hanging="360"/>
      </w:pPr>
      <w:rPr>
        <w:rFonts w:hint="default"/>
        <w:lang w:val="ro-RO" w:eastAsia="en-US" w:bidi="ar-SA"/>
      </w:rPr>
    </w:lvl>
    <w:lvl w:ilvl="7" w:tplc="8AB005EC">
      <w:numFmt w:val="bullet"/>
      <w:lvlText w:val="•"/>
      <w:lvlJc w:val="left"/>
      <w:pPr>
        <w:ind w:left="7862" w:hanging="360"/>
      </w:pPr>
      <w:rPr>
        <w:rFonts w:hint="default"/>
        <w:lang w:val="ro-RO" w:eastAsia="en-US" w:bidi="ar-SA"/>
      </w:rPr>
    </w:lvl>
    <w:lvl w:ilvl="8" w:tplc="AC7C8E64">
      <w:numFmt w:val="bullet"/>
      <w:lvlText w:val="•"/>
      <w:lvlJc w:val="left"/>
      <w:pPr>
        <w:ind w:left="9035" w:hanging="360"/>
      </w:pPr>
      <w:rPr>
        <w:rFonts w:hint="default"/>
        <w:lang w:val="ro-RO"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E70CE0"/>
    <w:rsid w:val="000324AB"/>
    <w:rsid w:val="00086435"/>
    <w:rsid w:val="00113276"/>
    <w:rsid w:val="00147E7E"/>
    <w:rsid w:val="001A446D"/>
    <w:rsid w:val="002145F9"/>
    <w:rsid w:val="0025438C"/>
    <w:rsid w:val="003240CC"/>
    <w:rsid w:val="00362881"/>
    <w:rsid w:val="003C2309"/>
    <w:rsid w:val="00403EFA"/>
    <w:rsid w:val="00404FFE"/>
    <w:rsid w:val="0043440C"/>
    <w:rsid w:val="0043453D"/>
    <w:rsid w:val="00435283"/>
    <w:rsid w:val="00463981"/>
    <w:rsid w:val="00482E09"/>
    <w:rsid w:val="005033D6"/>
    <w:rsid w:val="005115A7"/>
    <w:rsid w:val="0052121C"/>
    <w:rsid w:val="00617391"/>
    <w:rsid w:val="00705A6E"/>
    <w:rsid w:val="007517F1"/>
    <w:rsid w:val="00772815"/>
    <w:rsid w:val="007B42D5"/>
    <w:rsid w:val="007E35C9"/>
    <w:rsid w:val="007E74AE"/>
    <w:rsid w:val="008633F3"/>
    <w:rsid w:val="00896F3E"/>
    <w:rsid w:val="008A17E0"/>
    <w:rsid w:val="008A5891"/>
    <w:rsid w:val="008E2CC0"/>
    <w:rsid w:val="008E5CE1"/>
    <w:rsid w:val="009320E2"/>
    <w:rsid w:val="00947484"/>
    <w:rsid w:val="00950A30"/>
    <w:rsid w:val="00967DB4"/>
    <w:rsid w:val="00970594"/>
    <w:rsid w:val="009B1BF7"/>
    <w:rsid w:val="009E1E66"/>
    <w:rsid w:val="00A3216F"/>
    <w:rsid w:val="00A41AAC"/>
    <w:rsid w:val="00AD3405"/>
    <w:rsid w:val="00B26013"/>
    <w:rsid w:val="00B76DE4"/>
    <w:rsid w:val="00BA0332"/>
    <w:rsid w:val="00C07479"/>
    <w:rsid w:val="00C16869"/>
    <w:rsid w:val="00C530C0"/>
    <w:rsid w:val="00C67197"/>
    <w:rsid w:val="00C76E02"/>
    <w:rsid w:val="00C94915"/>
    <w:rsid w:val="00CD3E81"/>
    <w:rsid w:val="00D21453"/>
    <w:rsid w:val="00D40891"/>
    <w:rsid w:val="00D4218F"/>
    <w:rsid w:val="00D653B9"/>
    <w:rsid w:val="00DA09F7"/>
    <w:rsid w:val="00DB2414"/>
    <w:rsid w:val="00DD71B5"/>
    <w:rsid w:val="00E32A15"/>
    <w:rsid w:val="00E373E6"/>
    <w:rsid w:val="00E70514"/>
    <w:rsid w:val="00E70CE0"/>
    <w:rsid w:val="00E80B83"/>
    <w:rsid w:val="00E85CF7"/>
    <w:rsid w:val="00EB5B27"/>
    <w:rsid w:val="00F5430A"/>
    <w:rsid w:val="00F65FB8"/>
    <w:rsid w:val="00F673AB"/>
    <w:rsid w:val="00F76B5E"/>
    <w:rsid w:val="00FE4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0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53B9"/>
    <w:pPr>
      <w:autoSpaceDE w:val="0"/>
      <w:autoSpaceDN w:val="0"/>
      <w:adjustRightInd w:val="0"/>
      <w:spacing w:after="0" w:line="240" w:lineRule="auto"/>
    </w:pPr>
    <w:rPr>
      <w:rFonts w:ascii="Trebuchet MS" w:hAnsi="Trebuchet MS" w:cs="Trebuchet MS"/>
      <w:color w:val="000000"/>
      <w:sz w:val="24"/>
      <w:szCs w:val="24"/>
      <w:lang w:val="ro-RO"/>
    </w:rPr>
  </w:style>
  <w:style w:type="character" w:styleId="Hyperlink">
    <w:name w:val="Hyperlink"/>
    <w:basedOn w:val="DefaultParagraphFont"/>
    <w:uiPriority w:val="99"/>
    <w:unhideWhenUsed/>
    <w:rsid w:val="000324AB"/>
    <w:rPr>
      <w:color w:val="0563C1" w:themeColor="hyperlink"/>
      <w:u w:val="single"/>
    </w:rPr>
  </w:style>
  <w:style w:type="character" w:customStyle="1" w:styleId="UnresolvedMention">
    <w:name w:val="Unresolved Mention"/>
    <w:basedOn w:val="DefaultParagraphFont"/>
    <w:uiPriority w:val="99"/>
    <w:semiHidden/>
    <w:unhideWhenUsed/>
    <w:rsid w:val="009E1E66"/>
    <w:rPr>
      <w:color w:val="605E5C"/>
      <w:shd w:val="clear" w:color="auto" w:fill="E1DFDD"/>
    </w:rPr>
  </w:style>
  <w:style w:type="paragraph" w:styleId="BalloonText">
    <w:name w:val="Balloon Text"/>
    <w:basedOn w:val="Normal"/>
    <w:link w:val="BalloonTextChar"/>
    <w:uiPriority w:val="99"/>
    <w:semiHidden/>
    <w:unhideWhenUsed/>
    <w:rsid w:val="00434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40C"/>
    <w:rPr>
      <w:rFonts w:ascii="Tahoma" w:hAnsi="Tahoma" w:cs="Tahoma"/>
      <w:sz w:val="16"/>
      <w:szCs w:val="16"/>
    </w:rPr>
  </w:style>
  <w:style w:type="paragraph" w:customStyle="1" w:styleId="has-text-align-center">
    <w:name w:val="has-text-align-center"/>
    <w:basedOn w:val="Normal"/>
    <w:rsid w:val="0043440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4694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e.gov.ro/pnrr/" TargetMode="Externa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lespezi@yahoo.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399</Words>
  <Characters>2279</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c:creator>
  <cp:lastModifiedBy>admin</cp:lastModifiedBy>
  <cp:revision>3</cp:revision>
  <cp:lastPrinted>2023-02-20T13:00:00Z</cp:lastPrinted>
  <dcterms:created xsi:type="dcterms:W3CDTF">2026-07-22T06:57:00Z</dcterms:created>
  <dcterms:modified xsi:type="dcterms:W3CDTF">2026-07-22T06:58:00Z</dcterms:modified>
</cp:coreProperties>
</file>